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 w:eastAsia="Arial"/>
          <w:b/>
          <w:color w:val="73000A"/>
          <w:sz w:val="40"/>
        </w:rPr>
        <w:t>JINGRAN GONG</w:t>
      </w:r>
    </w:p>
    <w:p>
      <w:pPr>
        <w:spacing w:after="160" w:line="240" w:lineRule="auto"/>
        <w:jc w:val="center"/>
      </w:pPr>
      <w:hyperlink r:id="rId10">
        <w:r>
          <w:rPr>
            <w:rFonts w:ascii="Arial" w:hAnsi="Arial" w:eastAsia="Arial"/>
            <w:color w:val="73000A"/>
            <w:u w:val="single"/>
            <w:sz w:val="17"/>
          </w:rPr>
          <w:t>gongjingran_cupes@163.com</w:t>
        </w:r>
      </w:hyperlink>
    </w:p>
    <w:p>
      <w:pPr>
        <w:keepNext/>
        <w:keepLines/>
        <w:spacing w:before="60" w:after="20" w:line="240" w:lineRule="auto"/>
        <w:pBdr>
          <w:bottom w:val="single" w:sz="8" w:space="2" w:color="73000A"/>
        </w:pBdr>
      </w:pPr>
      <w:r>
        <w:rPr>
          <w:rFonts w:ascii="Arial" w:hAnsi="Arial" w:eastAsia="Arial"/>
          <w:b/>
          <w:color w:val="73000A"/>
          <w:sz w:val="20"/>
        </w:rPr>
        <w:t>Professional Profile</w:t>
      </w:r>
    </w:p>
    <w:p>
      <w:pPr>
        <w:spacing w:after="20" w:line="240" w:lineRule="auto"/>
      </w:pPr>
      <w:r>
        <w:rPr>
          <w:rFonts w:ascii="Arial" w:hAnsi="Arial" w:eastAsia="Arial"/>
          <w:color w:val="171717"/>
          <w:sz w:val="17"/>
        </w:rPr>
        <w:t>2026 Master of Sport and Entertainment Management candidate with experience across sport media, integrated marketing, retail, licensed merchandise, and entrepreneurship. Builds cross-functional execution, data analysis, and stakeholder communication across content, commerce, events, and consumer-facing operations.</w:t>
      </w:r>
    </w:p>
    <w:p>
      <w:pPr>
        <w:keepNext/>
        <w:keepLines/>
        <w:spacing w:before="60" w:after="20" w:line="240" w:lineRule="auto"/>
        <w:pBdr>
          <w:bottom w:val="single" w:sz="8" w:space="2" w:color="73000A"/>
        </w:pBdr>
      </w:pPr>
      <w:r>
        <w:rPr>
          <w:rFonts w:ascii="Arial" w:hAnsi="Arial" w:eastAsia="Arial"/>
          <w:b/>
          <w:color w:val="73000A"/>
          <w:sz w:val="20"/>
        </w:rPr>
        <w:t>Professional Experience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DESCENTE China | Management Trainee (MT)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July 2026-Present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Completing a comprehensive rotation before permanent department placement, with development focused on management, merchandise and retail decision-making, and cross-functional business operations.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Fanatics China | Integrated Marketing Intern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December 2025-March 2026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Supported PSG and Mitchell &amp; Ness campaigns, including the Hong Kong K11 PSG opening activation and Blaise Matuidi itinerary coordination; contributed to a Stephen Curry birthday activation connecting NBA Store fan resources across 38 cities.</w:t>
      </w:r>
    </w:p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Planned and wrote 20 social posts for NBA Store and Mitchell &amp; Ness accounts; coordinated Tmall and JD resource exchanges, creator shoots, livestreaming, and monthly analysis.</w:t>
      </w:r>
    </w:p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Participated in SP26 and SU26 merchandise launches from samples and shoots through product-detail pages; owned mini-program listing and documented the process in an SOP.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Tencent | Sports Broadcasting Intern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September 2021-April 2022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Supported live football broadcasts for the Bundesliga, UEFA Champions League, Chinese Super League, and Serie A, including signal booking, equipment tests, highlights, posters, and sponsor-rights checks; used Excel and SPSS to analyze Bundesliga audience data, sponsor-rights performance, and live-production workload.</w:t>
      </w:r>
    </w:p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Wrote pre-match and tactical-analysis articles for All Football and documented an improved intern workflow from match booking through post-match analysis.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Salomon | Part-Time Retail Sales Associate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April 2024-July 2024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Matched outdoor footwear to customer activities and usage needs; summarized fitting feedback to support sales decisions; supported display updates, new-product launches, daily inventory counts, discrepancy reconciliation, and replenishment rhythm.</w:t>
      </w:r>
    </w:p>
    <w:p>
      <w:pPr>
        <w:keepNext/>
        <w:keepLines/>
        <w:spacing w:before="60" w:after="20" w:line="240" w:lineRule="auto"/>
        <w:pBdr>
          <w:bottom w:val="single" w:sz="8" w:space="2" w:color="73000A"/>
        </w:pBdr>
      </w:pPr>
      <w:r>
        <w:rPr>
          <w:rFonts w:ascii="Arial" w:hAnsi="Arial" w:eastAsia="Arial"/>
          <w:b/>
          <w:color w:val="73000A"/>
          <w:sz w:val="20"/>
        </w:rPr>
        <w:t>Selected Leadership and Projects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Free Kick | Founder and Project Lead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October 2022-June 2024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Led a four-person interdisciplinary entrepreneurship team for two years, managing team assignments, the business plan, and sponsorship outreach; selected as a National College Student Innovation and Entrepreneurship Training Program project and received a bronze award in the Beijing Challenge Cup.</w:t>
      </w:r>
    </w:p>
    <w:p>
      <w:pPr>
        <w:spacing w:after="20" w:line="240" w:lineRule="auto"/>
      </w:pPr>
      <w:r>
        <w:rPr>
          <w:rFonts w:ascii="Arial" w:hAnsi="Arial" w:eastAsia="Arial"/>
          <w:color w:val="171717"/>
          <w:sz w:val="17"/>
        </w:rPr>
        <w:t>Independent analyses: cycling consumer behavior; Arc'teryx brand strategy; Formula One market development; Hisense World Cup sponsorship marketing.</w:t>
      </w:r>
    </w:p>
    <w:p>
      <w:pPr>
        <w:keepNext/>
        <w:keepLines/>
        <w:spacing w:before="60" w:after="20" w:line="240" w:lineRule="auto"/>
        <w:pBdr>
          <w:bottom w:val="single" w:sz="8" w:space="2" w:color="73000A"/>
        </w:pBdr>
      </w:pPr>
      <w:r>
        <w:rPr>
          <w:rFonts w:ascii="Arial" w:hAnsi="Arial" w:eastAsia="Arial"/>
          <w:b/>
          <w:color w:val="73000A"/>
          <w:sz w:val="20"/>
        </w:rPr>
        <w:t>Education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University of South Carolina | Master of Sport and Entertainment Management (M.S.E.M.)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August 2024-August 2026 | GPA: 3.8/4.0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Selected coursework: Quantitative Methods, Sport Finance, Sport Media, Sport and Entertainment Venue Management, Sport Psychology.</w:t>
      </w:r>
    </w:p>
    <w:tbl>
      <w:tblPr>
        <w:tblW w:type="dxa" w:w="101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C9C9C9"/>
          <w:left w:val="nil" w:sz="4" w:space="0" w:color="C9C9C9"/>
          <w:bottom w:val="nil" w:sz="4" w:space="0" w:color="C9C9C9"/>
          <w:right w:val="nil" w:sz="4" w:space="0" w:color="C9C9C9"/>
          <w:insideH w:val="nil" w:sz="4" w:space="0" w:color="C9C9C9"/>
          <w:insideV w:val="nil" w:sz="4" w:space="0" w:color="C9C9C9"/>
        </w:tblBorders>
      </w:tblPr>
      <w:tblGrid>
        <w:gridCol w:w="8200"/>
        <w:gridCol w:w="1960"/>
      </w:tblGrid>
      <w:tr>
        <w:tc>
          <w:tcPr>
            <w:tcW w:type="dxa" w:w="8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71717"/>
                <w:sz w:val="17"/>
              </w:rPr>
              <w:t>Capital University of Physical Education and Sports | B.M. in Sport Economics and Management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right"/>
            </w:pPr>
            <w:r>
              <w:rPr>
                <w:rFonts w:ascii="Arial" w:hAnsi="Arial" w:eastAsia="Arial"/>
                <w:i/>
                <w:color w:val="5A5A5A"/>
                <w:sz w:val="17"/>
              </w:rPr>
              <w:t>August 2020-May 2024 | GPA: 3.8/4.0</w:t>
            </w:r>
          </w:p>
        </w:tc>
      </w:tr>
    </w:tbl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Selected coursework: Statistics, Consumer Behavior, Sport Sponsorship and Advertising, Sport Event Market Development, Sport Agency Practice.</w:t>
      </w:r>
    </w:p>
    <w:p>
      <w:pPr>
        <w:spacing w:after="0" w:line="240" w:lineRule="auto"/>
        <w:numPr>
          <w:ilvl w:val="0"/>
          <w:numId w:val="10"/>
        </w:numPr>
      </w:pPr>
      <w:r>
        <w:rPr>
          <w:rFonts w:ascii="Arial" w:hAnsi="Arial" w:eastAsia="Arial"/>
          <w:color w:val="171717"/>
          <w:sz w:val="17"/>
        </w:rPr>
        <w:t>Beijing Outstanding Undergraduate Thesis: Operations and Management of Public Sports Venues in Kunming.</w:t>
      </w:r>
    </w:p>
    <w:p>
      <w:pPr>
        <w:keepNext/>
        <w:keepLines/>
        <w:spacing w:before="60" w:after="20" w:line="240" w:lineRule="auto"/>
        <w:pBdr>
          <w:bottom w:val="single" w:sz="8" w:space="2" w:color="73000A"/>
        </w:pBdr>
      </w:pPr>
      <w:r>
        <w:rPr>
          <w:rFonts w:ascii="Arial" w:hAnsi="Arial" w:eastAsia="Arial"/>
          <w:b/>
          <w:color w:val="73000A"/>
          <w:sz w:val="20"/>
        </w:rPr>
        <w:t>Skills</w:t>
      </w:r>
    </w:p>
    <w:p>
      <w:pPr>
        <w:spacing w:after="20" w:line="240" w:lineRule="auto"/>
      </w:pPr>
      <w:r>
        <w:rPr>
          <w:rFonts w:ascii="Arial" w:hAnsi="Arial" w:eastAsia="Arial"/>
          <w:color w:val="171717"/>
          <w:sz w:val="17"/>
        </w:rPr>
        <w:t>Data: Excel (logic functions, lookup functions, pivot tables); SPSS (descriptive statistics, association and difference tests, t tests, ANOVA, chi-square). Tools: Microsoft Word, PowerPoint, Visio, XMind, Adobe Photoshop, Adobe Premiere Pro. Languages: Chinese (native); English (professional working proficiency).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944"/>
      <w:jc w:val="left"/>
      <w:tblLayout w:type="fixed"/>
      <w:tblLook w:firstColumn="1" w:firstRow="1" w:lastColumn="0" w:lastRow="0" w:noHBand="0" w:noVBand="1" w:val="04A0"/>
      <w:tblInd w:w="0" w:type="dxa"/>
      <w:tblBorders>
        <w:top w:val="nil" w:sz="4" w:space="0" w:color="C9C9C9"/>
        <w:left w:val="nil" w:sz="4" w:space="0" w:color="C9C9C9"/>
        <w:bottom w:val="nil" w:sz="4" w:space="0" w:color="C9C9C9"/>
        <w:right w:val="nil" w:sz="4" w:space="0" w:color="C9C9C9"/>
        <w:insideH w:val="nil" w:sz="4" w:space="0" w:color="C9C9C9"/>
        <w:insideV w:val="nil" w:sz="4" w:space="0" w:color="C9C9C9"/>
      </w:tblBorders>
    </w:tblPr>
    <w:tblGrid>
      <w:gridCol w:w="8844"/>
      <w:gridCol w:w="2100"/>
    </w:tblGrid>
    <w:tr>
      <w:tc>
        <w:tcPr>
          <w:tcW w:type="dxa" w:w="8844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/>
          </w:pPr>
          <w:r>
            <w:rPr>
              <w:rFonts w:ascii="Arial" w:hAnsi="Arial" w:eastAsia="Arial"/>
              <w:color w:val="5A5A5A"/>
              <w:sz w:val="16"/>
            </w:rPr>
            <w:t>Jingran Gong | gongjingran_cupes@163.com</w:t>
          </w:r>
        </w:p>
      </w:tc>
      <w:tc>
        <w:tcPr>
          <w:tcW w:type="dxa" w:w="210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 w:before="0"/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Page </w:t>
          </w:r>
          <w:r>
            <w:rPr>
              <w:rFonts w:ascii="Times New Roman" w:hAnsi="Times New Roman" w:eastAsia="Times New Roman"/>
              <w:color w:val="171717"/>
              <w:sz w:val="24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</w:pPr>
      <w:rPr>
        <w:rFonts w:ascii="Arial" w:hAnsi="Arial" w:eastAsia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40" w:lineRule="auto"/>
    </w:pPr>
    <w:rPr>
      <w:rFonts w:ascii="Arial" w:hAnsi="Arial" w:eastAsia="Arial"/>
      <w:color w:val="171717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gongjingran_cupes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Jingran Gong Public-Safe English Resume</dc:title>
  <dc:subject>Professional resume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